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5" w:lineRule="atLeast"/>
        <w:ind w:left="0" w:right="0" w:firstLine="0"/>
        <w:jc w:val="center"/>
        <w:rPr>
          <w:rFonts w:ascii="微软雅黑" w:hAnsi="微软雅黑" w:eastAsia="微软雅黑" w:cs="微软雅黑"/>
          <w:i w:val="0"/>
          <w:iCs w:val="0"/>
          <w:caps w:val="0"/>
          <w:color w:val="444444"/>
          <w:spacing w:val="0"/>
          <w:sz w:val="27"/>
          <w:szCs w:val="27"/>
        </w:rPr>
      </w:pPr>
      <w:r>
        <w:rPr>
          <w:rFonts w:hint="eastAsia" w:ascii="微软雅黑" w:hAnsi="微软雅黑" w:eastAsia="微软雅黑" w:cs="微软雅黑"/>
          <w:i w:val="0"/>
          <w:iCs w:val="0"/>
          <w:caps w:val="0"/>
          <w:color w:val="444444"/>
          <w:spacing w:val="0"/>
          <w:sz w:val="27"/>
          <w:szCs w:val="27"/>
          <w:bdr w:val="none" w:color="auto" w:sz="0" w:space="0"/>
        </w:rPr>
        <w:t>关于组织开展“智慧助老”优质工作案例、教育培训项目及课程资源推介工作的通知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right"/>
        <w:rPr>
          <w:rFonts w:ascii="Calibri" w:hAnsi="Calibri" w:cs="Calibri"/>
          <w:sz w:val="21"/>
          <w:szCs w:val="21"/>
        </w:rPr>
      </w:pPr>
      <w:r>
        <w:rPr>
          <w:rFonts w:ascii="仿宋" w:hAnsi="仿宋" w:eastAsia="仿宋" w:cs="仿宋"/>
          <w:i w:val="0"/>
          <w:iCs w:val="0"/>
          <w:caps w:val="0"/>
          <w:color w:val="494949"/>
          <w:spacing w:val="0"/>
          <w:kern w:val="0"/>
          <w:sz w:val="28"/>
          <w:szCs w:val="28"/>
          <w:bdr w:val="none" w:color="auto" w:sz="0" w:space="0"/>
          <w:lang w:val="en-US" w:eastAsia="zh-CN" w:bidi="ar"/>
        </w:rPr>
        <w:t>教职成司函〔</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2021</w:t>
      </w:r>
      <w:r>
        <w:rPr>
          <w:rFonts w:hint="eastAsia" w:ascii="仿宋" w:hAnsi="仿宋" w:eastAsia="仿宋" w:cs="仿宋"/>
          <w:i w:val="0"/>
          <w:iCs w:val="0"/>
          <w:caps w:val="0"/>
          <w:color w:val="494949"/>
          <w:spacing w:val="0"/>
          <w:kern w:val="0"/>
          <w:sz w:val="28"/>
          <w:szCs w:val="28"/>
          <w:bdr w:val="none" w:color="auto" w:sz="0" w:space="0"/>
          <w:lang w:val="en-US" w:eastAsia="zh-CN" w:bidi="ar"/>
        </w:rPr>
        <w:t>〕</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44</w:t>
      </w:r>
      <w:r>
        <w:rPr>
          <w:rFonts w:hint="eastAsia" w:ascii="仿宋" w:hAnsi="仿宋" w:eastAsia="仿宋" w:cs="仿宋"/>
          <w:i w:val="0"/>
          <w:iCs w:val="0"/>
          <w:caps w:val="0"/>
          <w:color w:val="494949"/>
          <w:spacing w:val="0"/>
          <w:kern w:val="0"/>
          <w:sz w:val="28"/>
          <w:szCs w:val="28"/>
          <w:bdr w:val="none" w:color="auto" w:sz="0" w:space="0"/>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both"/>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各省、自治区、直辖市教育厅（教委），新疆生产建设兵团教育局，有关直属单位：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为深入贯彻国务院办公厅《关于切实解决老年人运用智能技术困难实施方案的通知》（国办发〔</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2020</w:t>
      </w:r>
      <w:r>
        <w:rPr>
          <w:rFonts w:hint="eastAsia" w:ascii="仿宋" w:hAnsi="仿宋" w:eastAsia="仿宋" w:cs="仿宋"/>
          <w:i w:val="0"/>
          <w:iCs w:val="0"/>
          <w:caps w:val="0"/>
          <w:color w:val="494949"/>
          <w:spacing w:val="0"/>
          <w:kern w:val="0"/>
          <w:sz w:val="28"/>
          <w:szCs w:val="28"/>
          <w:bdr w:val="none" w:color="auto" w:sz="0" w:space="0"/>
          <w:lang w:val="en-US" w:eastAsia="zh-CN" w:bidi="ar"/>
        </w:rPr>
        <w:t>〕</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45</w:t>
      </w:r>
      <w:r>
        <w:rPr>
          <w:rFonts w:hint="eastAsia" w:ascii="仿宋" w:hAnsi="仿宋" w:eastAsia="仿宋" w:cs="仿宋"/>
          <w:i w:val="0"/>
          <w:iCs w:val="0"/>
          <w:caps w:val="0"/>
          <w:color w:val="494949"/>
          <w:spacing w:val="0"/>
          <w:kern w:val="0"/>
          <w:sz w:val="28"/>
          <w:szCs w:val="28"/>
          <w:bdr w:val="none" w:color="auto" w:sz="0" w:space="0"/>
          <w:lang w:val="en-US" w:eastAsia="zh-CN" w:bidi="ar"/>
        </w:rPr>
        <w:t>号）和全国老龄办《关于开展“智慧助老”行动的通知》（全国老龄办发〔</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2020</w:t>
      </w:r>
      <w:r>
        <w:rPr>
          <w:rFonts w:hint="eastAsia" w:ascii="仿宋" w:hAnsi="仿宋" w:eastAsia="仿宋" w:cs="仿宋"/>
          <w:i w:val="0"/>
          <w:iCs w:val="0"/>
          <w:caps w:val="0"/>
          <w:color w:val="494949"/>
          <w:spacing w:val="0"/>
          <w:kern w:val="0"/>
          <w:sz w:val="28"/>
          <w:szCs w:val="28"/>
          <w:bdr w:val="none" w:color="auto" w:sz="0" w:space="0"/>
          <w:lang w:val="en-US" w:eastAsia="zh-CN" w:bidi="ar"/>
        </w:rPr>
        <w:t>〕</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3</w:t>
      </w:r>
      <w:r>
        <w:rPr>
          <w:rFonts w:hint="eastAsia" w:ascii="仿宋" w:hAnsi="仿宋" w:eastAsia="仿宋" w:cs="仿宋"/>
          <w:i w:val="0"/>
          <w:iCs w:val="0"/>
          <w:caps w:val="0"/>
          <w:color w:val="494949"/>
          <w:spacing w:val="0"/>
          <w:kern w:val="0"/>
          <w:sz w:val="28"/>
          <w:szCs w:val="28"/>
          <w:bdr w:val="none" w:color="auto" w:sz="0" w:space="0"/>
          <w:lang w:val="en-US" w:eastAsia="zh-CN" w:bidi="ar"/>
        </w:rPr>
        <w:t>号）等文件精神，落实《教育部办公厅关于广泛开展老年人运用智能技术教育培训的通知》（教职成厅函〔</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2021</w:t>
      </w:r>
      <w:r>
        <w:rPr>
          <w:rFonts w:hint="eastAsia" w:ascii="仿宋" w:hAnsi="仿宋" w:eastAsia="仿宋" w:cs="仿宋"/>
          <w:i w:val="0"/>
          <w:iCs w:val="0"/>
          <w:caps w:val="0"/>
          <w:color w:val="494949"/>
          <w:spacing w:val="0"/>
          <w:kern w:val="0"/>
          <w:sz w:val="28"/>
          <w:szCs w:val="28"/>
          <w:bdr w:val="none" w:color="auto" w:sz="0" w:space="0"/>
          <w:lang w:val="en-US" w:eastAsia="zh-CN" w:bidi="ar"/>
        </w:rPr>
        <w:t>〕</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15</w:t>
      </w:r>
      <w:r>
        <w:rPr>
          <w:rFonts w:hint="eastAsia" w:ascii="仿宋" w:hAnsi="仿宋" w:eastAsia="仿宋" w:cs="仿宋"/>
          <w:i w:val="0"/>
          <w:iCs w:val="0"/>
          <w:caps w:val="0"/>
          <w:color w:val="494949"/>
          <w:spacing w:val="0"/>
          <w:kern w:val="0"/>
          <w:sz w:val="28"/>
          <w:szCs w:val="28"/>
          <w:bdr w:val="none" w:color="auto" w:sz="0" w:space="0"/>
          <w:lang w:val="en-US" w:eastAsia="zh-CN" w:bidi="ar"/>
        </w:rPr>
        <w:t>号）和《教育部办公厅关于举办</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2021</w:t>
      </w:r>
      <w:r>
        <w:rPr>
          <w:rFonts w:hint="eastAsia" w:ascii="仿宋" w:hAnsi="仿宋" w:eastAsia="仿宋" w:cs="仿宋"/>
          <w:i w:val="0"/>
          <w:iCs w:val="0"/>
          <w:caps w:val="0"/>
          <w:color w:val="494949"/>
          <w:spacing w:val="0"/>
          <w:kern w:val="0"/>
          <w:sz w:val="28"/>
          <w:szCs w:val="28"/>
          <w:bdr w:val="none" w:color="auto" w:sz="0" w:space="0"/>
          <w:lang w:val="en-US" w:eastAsia="zh-CN" w:bidi="ar"/>
        </w:rPr>
        <w:t>年全民终身学习活动周的通知》（教职成厅函〔</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2021</w:t>
      </w:r>
      <w:r>
        <w:rPr>
          <w:rFonts w:hint="eastAsia" w:ascii="仿宋" w:hAnsi="仿宋" w:eastAsia="仿宋" w:cs="仿宋"/>
          <w:i w:val="0"/>
          <w:iCs w:val="0"/>
          <w:caps w:val="0"/>
          <w:color w:val="494949"/>
          <w:spacing w:val="0"/>
          <w:kern w:val="0"/>
          <w:sz w:val="28"/>
          <w:szCs w:val="28"/>
          <w:bdr w:val="none" w:color="auto" w:sz="0" w:space="0"/>
          <w:lang w:val="en-US" w:eastAsia="zh-CN" w:bidi="ar"/>
        </w:rPr>
        <w:t>〕</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w:t>
      </w:r>
      <w:r>
        <w:rPr>
          <w:rFonts w:hint="eastAsia" w:ascii="仿宋" w:hAnsi="仿宋" w:eastAsia="仿宋" w:cs="仿宋"/>
          <w:i w:val="0"/>
          <w:iCs w:val="0"/>
          <w:caps w:val="0"/>
          <w:color w:val="494949"/>
          <w:spacing w:val="0"/>
          <w:kern w:val="0"/>
          <w:sz w:val="28"/>
          <w:szCs w:val="28"/>
          <w:bdr w:val="none" w:color="auto" w:sz="0" w:space="0"/>
          <w:lang w:val="en-US" w:eastAsia="zh-CN" w:bidi="ar"/>
        </w:rPr>
        <w:t>号）要求，经研究，决定组织开展“智慧助老”专题的优质工作案例、教育培训项目、课程资源推介活动。现就有关事项通知如下。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一、工作目标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汇聚全国各地发展老年教育、开展“智慧助老”的好经验和好做法，积极拓展老年教育社会功能，助力老年人更新观念，提升老年人运用智能技术能力，帮助老年人更好地适应并融入信息社会，为老年人跨越“数字鸿沟”提供教育支持服务，不断增强老年人的获得感、幸福感和安全感。至</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2022</w:t>
      </w:r>
      <w:r>
        <w:rPr>
          <w:rFonts w:hint="eastAsia" w:ascii="仿宋" w:hAnsi="仿宋" w:eastAsia="仿宋" w:cs="仿宋"/>
          <w:i w:val="0"/>
          <w:iCs w:val="0"/>
          <w:caps w:val="0"/>
          <w:color w:val="494949"/>
          <w:spacing w:val="0"/>
          <w:kern w:val="0"/>
          <w:sz w:val="28"/>
          <w:szCs w:val="28"/>
          <w:bdr w:val="none" w:color="auto" w:sz="0" w:space="0"/>
          <w:lang w:val="en-US" w:eastAsia="zh-CN" w:bidi="ar"/>
        </w:rPr>
        <w:t>年底，推介“智慧助老”优质工作案例</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100</w:t>
      </w:r>
      <w:r>
        <w:rPr>
          <w:rFonts w:hint="eastAsia" w:ascii="仿宋" w:hAnsi="仿宋" w:eastAsia="仿宋" w:cs="仿宋"/>
          <w:i w:val="0"/>
          <w:iCs w:val="0"/>
          <w:caps w:val="0"/>
          <w:color w:val="494949"/>
          <w:spacing w:val="0"/>
          <w:kern w:val="0"/>
          <w:sz w:val="28"/>
          <w:szCs w:val="28"/>
          <w:bdr w:val="none" w:color="auto" w:sz="0" w:space="0"/>
          <w:lang w:val="en-US" w:eastAsia="zh-CN" w:bidi="ar"/>
        </w:rPr>
        <w:t>个、优质教育培训项目</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200</w:t>
      </w:r>
      <w:r>
        <w:rPr>
          <w:rFonts w:hint="eastAsia" w:ascii="仿宋" w:hAnsi="仿宋" w:eastAsia="仿宋" w:cs="仿宋"/>
          <w:i w:val="0"/>
          <w:iCs w:val="0"/>
          <w:caps w:val="0"/>
          <w:color w:val="494949"/>
          <w:spacing w:val="0"/>
          <w:kern w:val="0"/>
          <w:sz w:val="28"/>
          <w:szCs w:val="28"/>
          <w:bdr w:val="none" w:color="auto" w:sz="0" w:space="0"/>
          <w:lang w:val="en-US" w:eastAsia="zh-CN" w:bidi="ar"/>
        </w:rPr>
        <w:t>个、优质课程资源</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500</w:t>
      </w:r>
      <w:r>
        <w:rPr>
          <w:rFonts w:hint="eastAsia" w:ascii="仿宋" w:hAnsi="仿宋" w:eastAsia="仿宋" w:cs="仿宋"/>
          <w:i w:val="0"/>
          <w:iCs w:val="0"/>
          <w:caps w:val="0"/>
          <w:color w:val="494949"/>
          <w:spacing w:val="0"/>
          <w:kern w:val="0"/>
          <w:sz w:val="28"/>
          <w:szCs w:val="28"/>
          <w:bdr w:val="none" w:color="auto" w:sz="0" w:space="0"/>
          <w:lang w:val="en-US" w:eastAsia="zh-CN" w:bidi="ar"/>
        </w:rPr>
        <w:t>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二、工作组织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1.</w:t>
      </w:r>
      <w:r>
        <w:rPr>
          <w:rFonts w:hint="eastAsia" w:ascii="仿宋" w:hAnsi="仿宋" w:eastAsia="仿宋" w:cs="仿宋"/>
          <w:i w:val="0"/>
          <w:iCs w:val="0"/>
          <w:caps w:val="0"/>
          <w:color w:val="494949"/>
          <w:spacing w:val="0"/>
          <w:kern w:val="0"/>
          <w:sz w:val="28"/>
          <w:szCs w:val="28"/>
          <w:bdr w:val="none" w:color="auto" w:sz="0" w:space="0"/>
          <w:lang w:val="en-US" w:eastAsia="zh-CN" w:bidi="ar"/>
        </w:rPr>
        <w:t>“智慧助老”案例推介工作由各地教育行政部门按照本通知要求负责组织协调。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w:t>
      </w:r>
      <w:r>
        <w:rPr>
          <w:rFonts w:hint="eastAsia" w:ascii="仿宋" w:hAnsi="仿宋" w:eastAsia="仿宋" w:cs="仿宋"/>
          <w:i w:val="0"/>
          <w:iCs w:val="0"/>
          <w:caps w:val="0"/>
          <w:color w:val="494949"/>
          <w:spacing w:val="0"/>
          <w:kern w:val="0"/>
          <w:sz w:val="28"/>
          <w:szCs w:val="28"/>
          <w:bdr w:val="none" w:color="auto" w:sz="0" w:space="0"/>
          <w:lang w:val="en-US" w:eastAsia="zh-CN" w:bidi="ar"/>
        </w:rPr>
        <w:t>国家开放大学具体承担“智慧助老”专题的优质工作案例、教育培训项目、课程资源推介展示工作。省级教育行政部门可委托省级开放大学（或一个相关机构）承担本地区“智慧助老”专题的组织申报工作，指导做好本地典型工作案例、教育培训项目、课程资源的推荐及上报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3.</w:t>
      </w:r>
      <w:r>
        <w:rPr>
          <w:rFonts w:hint="eastAsia" w:ascii="仿宋" w:hAnsi="仿宋" w:eastAsia="仿宋" w:cs="仿宋"/>
          <w:i w:val="0"/>
          <w:iCs w:val="0"/>
          <w:caps w:val="0"/>
          <w:color w:val="494949"/>
          <w:spacing w:val="0"/>
          <w:kern w:val="0"/>
          <w:sz w:val="28"/>
          <w:szCs w:val="28"/>
          <w:bdr w:val="none" w:color="auto" w:sz="0" w:space="0"/>
          <w:lang w:val="en-US" w:eastAsia="zh-CN" w:bidi="ar"/>
        </w:rPr>
        <w:t>“智慧助老”专题优质工作案例、教育培训项目、课程资源等由国家开放大学负责在全国老年教育资源共享和公共服务平台展示和推介。我司还将通过其他多种方式进行推介。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三、工作要求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1.</w:t>
      </w:r>
      <w:r>
        <w:rPr>
          <w:rFonts w:hint="eastAsia" w:ascii="仿宋" w:hAnsi="仿宋" w:eastAsia="仿宋" w:cs="仿宋"/>
          <w:i w:val="0"/>
          <w:iCs w:val="0"/>
          <w:caps w:val="0"/>
          <w:color w:val="494949"/>
          <w:spacing w:val="0"/>
          <w:kern w:val="0"/>
          <w:sz w:val="28"/>
          <w:szCs w:val="28"/>
          <w:bdr w:val="none" w:color="auto" w:sz="0" w:space="0"/>
          <w:lang w:val="en-US" w:eastAsia="zh-CN" w:bidi="ar"/>
        </w:rPr>
        <w:t>“智慧助老”专题推介相关具体工作自</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2021</w:t>
      </w:r>
      <w:r>
        <w:rPr>
          <w:rFonts w:hint="eastAsia" w:ascii="仿宋" w:hAnsi="仿宋" w:eastAsia="仿宋" w:cs="仿宋"/>
          <w:i w:val="0"/>
          <w:iCs w:val="0"/>
          <w:caps w:val="0"/>
          <w:color w:val="494949"/>
          <w:spacing w:val="0"/>
          <w:kern w:val="0"/>
          <w:sz w:val="28"/>
          <w:szCs w:val="28"/>
          <w:bdr w:val="none" w:color="auto" w:sz="0" w:space="0"/>
          <w:lang w:val="en-US" w:eastAsia="zh-CN" w:bidi="ar"/>
        </w:rPr>
        <w:t>年</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10</w:t>
      </w:r>
      <w:r>
        <w:rPr>
          <w:rFonts w:hint="eastAsia" w:ascii="仿宋" w:hAnsi="仿宋" w:eastAsia="仿宋" w:cs="仿宋"/>
          <w:i w:val="0"/>
          <w:iCs w:val="0"/>
          <w:caps w:val="0"/>
          <w:color w:val="494949"/>
          <w:spacing w:val="0"/>
          <w:kern w:val="0"/>
          <w:sz w:val="28"/>
          <w:szCs w:val="28"/>
          <w:bdr w:val="none" w:color="auto" w:sz="0" w:space="0"/>
          <w:lang w:val="en-US" w:eastAsia="zh-CN" w:bidi="ar"/>
        </w:rPr>
        <w:t>月启动，至</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2022</w:t>
      </w:r>
      <w:r>
        <w:rPr>
          <w:rFonts w:hint="eastAsia" w:ascii="仿宋" w:hAnsi="仿宋" w:eastAsia="仿宋" w:cs="仿宋"/>
          <w:i w:val="0"/>
          <w:iCs w:val="0"/>
          <w:caps w:val="0"/>
          <w:color w:val="494949"/>
          <w:spacing w:val="0"/>
          <w:kern w:val="0"/>
          <w:sz w:val="28"/>
          <w:szCs w:val="28"/>
          <w:bdr w:val="none" w:color="auto" w:sz="0" w:space="0"/>
          <w:lang w:val="en-US" w:eastAsia="zh-CN" w:bidi="ar"/>
        </w:rPr>
        <w:t>年底结束。各地要规范推荐程序，保证推荐工作公开、公正、公平。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w:t>
      </w:r>
      <w:r>
        <w:rPr>
          <w:rFonts w:hint="eastAsia" w:ascii="仿宋" w:hAnsi="仿宋" w:eastAsia="仿宋" w:cs="仿宋"/>
          <w:i w:val="0"/>
          <w:iCs w:val="0"/>
          <w:caps w:val="0"/>
          <w:color w:val="494949"/>
          <w:spacing w:val="0"/>
          <w:kern w:val="0"/>
          <w:sz w:val="28"/>
          <w:szCs w:val="28"/>
          <w:bdr w:val="none" w:color="auto" w:sz="0" w:space="0"/>
          <w:lang w:val="en-US" w:eastAsia="zh-CN" w:bidi="ar"/>
        </w:rPr>
        <w:t>省级教育行政部门要加强协调，有序开展“智慧助老”专题的工作案例、培训项目及课程资源的组织申报工作，可委托省级开放大学（或相关机构）承担本地区相关申请和推荐工作，并按工作要求提交本地区推荐材料，由国家开放大学具体联系及汇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3.</w:t>
      </w:r>
      <w:r>
        <w:rPr>
          <w:rFonts w:hint="eastAsia" w:ascii="仿宋" w:hAnsi="仿宋" w:eastAsia="仿宋" w:cs="仿宋"/>
          <w:i w:val="0"/>
          <w:iCs w:val="0"/>
          <w:caps w:val="0"/>
          <w:color w:val="494949"/>
          <w:spacing w:val="0"/>
          <w:kern w:val="0"/>
          <w:sz w:val="28"/>
          <w:szCs w:val="28"/>
          <w:bdr w:val="none" w:color="auto" w:sz="0" w:space="0"/>
          <w:lang w:val="en-US" w:eastAsia="zh-CN" w:bidi="ar"/>
        </w:rPr>
        <w:t>各申报单位要紧扣“智慧助老”主题，紧紧围绕老年人出行、就医、消费、文娱、办事等高频事项和服务场景，相关案例、项目和课程要聚焦解决老年人运用智能技术的困难，并能起到引领示范作用，助力老年人享受智慧生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4.</w:t>
      </w:r>
      <w:r>
        <w:rPr>
          <w:rFonts w:hint="eastAsia" w:ascii="仿宋" w:hAnsi="仿宋" w:eastAsia="仿宋" w:cs="仿宋"/>
          <w:i w:val="0"/>
          <w:iCs w:val="0"/>
          <w:caps w:val="0"/>
          <w:color w:val="494949"/>
          <w:spacing w:val="0"/>
          <w:kern w:val="0"/>
          <w:sz w:val="28"/>
          <w:szCs w:val="28"/>
          <w:bdr w:val="none" w:color="auto" w:sz="0" w:space="0"/>
          <w:lang w:val="en-US" w:eastAsia="zh-CN" w:bidi="ar"/>
        </w:rPr>
        <w:t>强化“智慧助老”专题的创新应用与推广。各地要根据当地老年人运用智能技术的实际情况，分析老年人需求特点，因地制宜宣传、推广“智慧助老”优质工作案例、教育培训项目及课程资源等成果。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四、成果应用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1.</w:t>
      </w:r>
      <w:r>
        <w:rPr>
          <w:rFonts w:hint="eastAsia" w:ascii="仿宋" w:hAnsi="仿宋" w:eastAsia="仿宋" w:cs="仿宋"/>
          <w:i w:val="0"/>
          <w:iCs w:val="0"/>
          <w:caps w:val="0"/>
          <w:color w:val="494949"/>
          <w:spacing w:val="0"/>
          <w:kern w:val="0"/>
          <w:sz w:val="28"/>
          <w:szCs w:val="28"/>
          <w:bdr w:val="none" w:color="auto" w:sz="0" w:space="0"/>
          <w:lang w:val="en-US" w:eastAsia="zh-CN" w:bidi="ar"/>
        </w:rPr>
        <w:t>对各地报送的“智慧助老”专题的典型工作案例、教育培训项目及课程资源，将视情组织专家进行评议。其中，第一批于</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2021</w:t>
      </w:r>
      <w:r>
        <w:rPr>
          <w:rFonts w:hint="eastAsia" w:ascii="仿宋" w:hAnsi="仿宋" w:eastAsia="仿宋" w:cs="仿宋"/>
          <w:i w:val="0"/>
          <w:iCs w:val="0"/>
          <w:caps w:val="0"/>
          <w:color w:val="494949"/>
          <w:spacing w:val="0"/>
          <w:kern w:val="0"/>
          <w:sz w:val="28"/>
          <w:szCs w:val="28"/>
          <w:bdr w:val="none" w:color="auto" w:sz="0" w:space="0"/>
          <w:lang w:val="en-US" w:eastAsia="zh-CN" w:bidi="ar"/>
        </w:rPr>
        <w:t>年</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10</w:t>
      </w:r>
      <w:r>
        <w:rPr>
          <w:rFonts w:hint="eastAsia" w:ascii="仿宋" w:hAnsi="仿宋" w:eastAsia="仿宋" w:cs="仿宋"/>
          <w:i w:val="0"/>
          <w:iCs w:val="0"/>
          <w:caps w:val="0"/>
          <w:color w:val="494949"/>
          <w:spacing w:val="0"/>
          <w:kern w:val="0"/>
          <w:sz w:val="28"/>
          <w:szCs w:val="28"/>
          <w:bdr w:val="none" w:color="auto" w:sz="0" w:space="0"/>
          <w:lang w:val="en-US" w:eastAsia="zh-CN" w:bidi="ar"/>
        </w:rPr>
        <w:t>月</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31</w:t>
      </w:r>
      <w:r>
        <w:rPr>
          <w:rFonts w:hint="eastAsia" w:ascii="仿宋" w:hAnsi="仿宋" w:eastAsia="仿宋" w:cs="仿宋"/>
          <w:i w:val="0"/>
          <w:iCs w:val="0"/>
          <w:caps w:val="0"/>
          <w:color w:val="494949"/>
          <w:spacing w:val="0"/>
          <w:kern w:val="0"/>
          <w:sz w:val="28"/>
          <w:szCs w:val="28"/>
          <w:bdr w:val="none" w:color="auto" w:sz="0" w:space="0"/>
          <w:lang w:val="en-US" w:eastAsia="zh-CN" w:bidi="ar"/>
        </w:rPr>
        <w:t>日之前报送，经专家评议后，将在</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2021</w:t>
      </w:r>
      <w:r>
        <w:rPr>
          <w:rFonts w:hint="eastAsia" w:ascii="仿宋" w:hAnsi="仿宋" w:eastAsia="仿宋" w:cs="仿宋"/>
          <w:i w:val="0"/>
          <w:iCs w:val="0"/>
          <w:caps w:val="0"/>
          <w:color w:val="494949"/>
          <w:spacing w:val="0"/>
          <w:kern w:val="0"/>
          <w:sz w:val="28"/>
          <w:szCs w:val="28"/>
          <w:bdr w:val="none" w:color="auto" w:sz="0" w:space="0"/>
          <w:lang w:val="en-US" w:eastAsia="zh-CN" w:bidi="ar"/>
        </w:rPr>
        <w:t>年全民终身学习活动周总开幕式上择优展示、推介；第二批于</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2022</w:t>
      </w:r>
      <w:r>
        <w:rPr>
          <w:rFonts w:hint="eastAsia" w:ascii="仿宋" w:hAnsi="仿宋" w:eastAsia="仿宋" w:cs="仿宋"/>
          <w:i w:val="0"/>
          <w:iCs w:val="0"/>
          <w:caps w:val="0"/>
          <w:color w:val="494949"/>
          <w:spacing w:val="0"/>
          <w:kern w:val="0"/>
          <w:sz w:val="28"/>
          <w:szCs w:val="28"/>
          <w:bdr w:val="none" w:color="auto" w:sz="0" w:space="0"/>
          <w:lang w:val="en-US" w:eastAsia="zh-CN" w:bidi="ar"/>
        </w:rPr>
        <w:t>年</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5</w:t>
      </w:r>
      <w:r>
        <w:rPr>
          <w:rFonts w:hint="eastAsia" w:ascii="仿宋" w:hAnsi="仿宋" w:eastAsia="仿宋" w:cs="仿宋"/>
          <w:i w:val="0"/>
          <w:iCs w:val="0"/>
          <w:caps w:val="0"/>
          <w:color w:val="494949"/>
          <w:spacing w:val="0"/>
          <w:kern w:val="0"/>
          <w:sz w:val="28"/>
          <w:szCs w:val="28"/>
          <w:bdr w:val="none" w:color="auto" w:sz="0" w:space="0"/>
          <w:lang w:val="en-US" w:eastAsia="zh-CN" w:bidi="ar"/>
        </w:rPr>
        <w:t>月</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31</w:t>
      </w:r>
      <w:r>
        <w:rPr>
          <w:rFonts w:hint="eastAsia" w:ascii="仿宋" w:hAnsi="仿宋" w:eastAsia="仿宋" w:cs="仿宋"/>
          <w:i w:val="0"/>
          <w:iCs w:val="0"/>
          <w:caps w:val="0"/>
          <w:color w:val="494949"/>
          <w:spacing w:val="0"/>
          <w:kern w:val="0"/>
          <w:sz w:val="28"/>
          <w:szCs w:val="28"/>
          <w:bdr w:val="none" w:color="auto" w:sz="0" w:space="0"/>
          <w:lang w:val="en-US" w:eastAsia="zh-CN" w:bidi="ar"/>
        </w:rPr>
        <w:t>日之前报送，经专家评议后，进行推介；第三批于</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2022</w:t>
      </w:r>
      <w:r>
        <w:rPr>
          <w:rFonts w:hint="eastAsia" w:ascii="仿宋" w:hAnsi="仿宋" w:eastAsia="仿宋" w:cs="仿宋"/>
          <w:i w:val="0"/>
          <w:iCs w:val="0"/>
          <w:caps w:val="0"/>
          <w:color w:val="494949"/>
          <w:spacing w:val="0"/>
          <w:kern w:val="0"/>
          <w:sz w:val="28"/>
          <w:szCs w:val="28"/>
          <w:bdr w:val="none" w:color="auto" w:sz="0" w:space="0"/>
          <w:lang w:val="en-US" w:eastAsia="zh-CN" w:bidi="ar"/>
        </w:rPr>
        <w:t>年</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9</w:t>
      </w:r>
      <w:r>
        <w:rPr>
          <w:rFonts w:hint="eastAsia" w:ascii="仿宋" w:hAnsi="仿宋" w:eastAsia="仿宋" w:cs="仿宋"/>
          <w:i w:val="0"/>
          <w:iCs w:val="0"/>
          <w:caps w:val="0"/>
          <w:color w:val="494949"/>
          <w:spacing w:val="0"/>
          <w:kern w:val="0"/>
          <w:sz w:val="28"/>
          <w:szCs w:val="28"/>
          <w:bdr w:val="none" w:color="auto" w:sz="0" w:space="0"/>
          <w:lang w:val="en-US" w:eastAsia="zh-CN" w:bidi="ar"/>
        </w:rPr>
        <w:t>月</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15</w:t>
      </w:r>
      <w:r>
        <w:rPr>
          <w:rFonts w:hint="eastAsia" w:ascii="仿宋" w:hAnsi="仿宋" w:eastAsia="仿宋" w:cs="仿宋"/>
          <w:i w:val="0"/>
          <w:iCs w:val="0"/>
          <w:caps w:val="0"/>
          <w:color w:val="494949"/>
          <w:spacing w:val="0"/>
          <w:kern w:val="0"/>
          <w:sz w:val="28"/>
          <w:szCs w:val="28"/>
          <w:bdr w:val="none" w:color="auto" w:sz="0" w:space="0"/>
          <w:lang w:val="en-US" w:eastAsia="zh-CN" w:bidi="ar"/>
        </w:rPr>
        <w:t>日之前报送，经专家评议后，相关成果将汇编成册。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w:t>
      </w:r>
      <w:r>
        <w:rPr>
          <w:rFonts w:hint="eastAsia" w:ascii="仿宋" w:hAnsi="仿宋" w:eastAsia="仿宋" w:cs="仿宋"/>
          <w:i w:val="0"/>
          <w:iCs w:val="0"/>
          <w:caps w:val="0"/>
          <w:color w:val="494949"/>
          <w:spacing w:val="0"/>
          <w:kern w:val="0"/>
          <w:sz w:val="28"/>
          <w:szCs w:val="28"/>
          <w:bdr w:val="none" w:color="auto" w:sz="0" w:space="0"/>
          <w:lang w:val="en-US" w:eastAsia="zh-CN" w:bidi="ar"/>
        </w:rPr>
        <w:t>各地推荐的“智慧助老”专题的典型工作案例、教育培训项目及课程资源，将纳入全国老年教育资源共享和公共服务平台数据库。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五、其他事项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请各省级教育行政部门加强属地统筹，积极协调开展“智慧助老”专题的典型推介工作；有关省级开放大学（或相关机构）要积极承担本地区“智慧助老”专题的组织申报等工作，并在省级教育行政部门指导下做好典型工作案例、教育培训项目、课程资源的推荐工作，按程序报送推荐结果（具体由国家开放大学汇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国家开放大学联系人：谢来义、温书宇　</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010-66490580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教育部职成司联系人：王立　</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010-66096253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560" w:firstLineChars="200"/>
        <w:jc w:val="both"/>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报送邮箱：</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lndx@ouchn.edu.cn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both"/>
        <w:rPr>
          <w:rFonts w:hint="default" w:ascii="Calibri" w:hAnsi="Calibri" w:cs="Calibri"/>
          <w:sz w:val="21"/>
          <w:szCs w:val="21"/>
        </w:rPr>
      </w:pP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right"/>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教育部职业教育与成人教育司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right"/>
        <w:rPr>
          <w:rFonts w:hint="default" w:ascii="Calibri" w:hAnsi="Calibri" w:cs="Calibri"/>
          <w:sz w:val="21"/>
          <w:szCs w:val="21"/>
        </w:rPr>
      </w:pPr>
      <w:r>
        <w:rPr>
          <w:rFonts w:hint="eastAsia" w:ascii="仿宋" w:hAnsi="仿宋" w:eastAsia="仿宋" w:cs="仿宋"/>
          <w:i w:val="0"/>
          <w:iCs w:val="0"/>
          <w:caps w:val="0"/>
          <w:color w:val="494949"/>
          <w:spacing w:val="0"/>
          <w:kern w:val="0"/>
          <w:sz w:val="28"/>
          <w:szCs w:val="28"/>
          <w:bdr w:val="none" w:color="auto" w:sz="0" w:space="0"/>
          <w:lang w:val="en-US" w:eastAsia="zh-CN" w:bidi="ar"/>
        </w:rPr>
        <w:t>2021年</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10</w:t>
      </w:r>
      <w:r>
        <w:rPr>
          <w:rFonts w:hint="eastAsia" w:ascii="仿宋" w:hAnsi="仿宋" w:eastAsia="仿宋" w:cs="仿宋"/>
          <w:i w:val="0"/>
          <w:iCs w:val="0"/>
          <w:caps w:val="0"/>
          <w:color w:val="494949"/>
          <w:spacing w:val="0"/>
          <w:kern w:val="0"/>
          <w:sz w:val="28"/>
          <w:szCs w:val="28"/>
          <w:bdr w:val="none" w:color="auto" w:sz="0" w:space="0"/>
          <w:lang w:val="en-US" w:eastAsia="zh-CN" w:bidi="ar"/>
        </w:rPr>
        <w:t>月</w:t>
      </w:r>
      <w:r>
        <w:rPr>
          <w:rFonts w:hint="eastAsia" w:ascii="微软雅黑" w:hAnsi="微软雅黑" w:eastAsia="微软雅黑" w:cs="微软雅黑"/>
          <w:i w:val="0"/>
          <w:iCs w:val="0"/>
          <w:caps w:val="0"/>
          <w:color w:val="494949"/>
          <w:spacing w:val="0"/>
          <w:kern w:val="0"/>
          <w:sz w:val="28"/>
          <w:szCs w:val="28"/>
          <w:bdr w:val="none" w:color="auto" w:sz="0" w:space="0"/>
          <w:lang w:val="en-US" w:eastAsia="zh-CN" w:bidi="ar"/>
        </w:rPr>
        <w:t>26</w:t>
      </w:r>
      <w:r>
        <w:rPr>
          <w:rFonts w:hint="eastAsia" w:ascii="仿宋" w:hAnsi="仿宋" w:eastAsia="仿宋" w:cs="仿宋"/>
          <w:i w:val="0"/>
          <w:iCs w:val="0"/>
          <w:caps w:val="0"/>
          <w:color w:val="494949"/>
          <w:spacing w:val="0"/>
          <w:kern w:val="0"/>
          <w:sz w:val="28"/>
          <w:szCs w:val="28"/>
          <w:bdr w:val="none" w:color="auto" w:sz="0" w:space="0"/>
          <w:lang w:val="en-US" w:eastAsia="zh-CN" w:bidi="ar"/>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